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FADE" w14:textId="33262C0A" w:rsidR="002604FA" w:rsidRPr="007572D3" w:rsidRDefault="002604FA" w:rsidP="007572D3">
      <w:pPr>
        <w:jc w:val="center"/>
        <w:rPr>
          <w:b/>
          <w:bCs/>
          <w:sz w:val="36"/>
          <w:szCs w:val="36"/>
        </w:rPr>
      </w:pPr>
      <w:r w:rsidRPr="007572D3">
        <w:rPr>
          <w:b/>
          <w:bCs/>
          <w:sz w:val="36"/>
          <w:szCs w:val="36"/>
        </w:rPr>
        <w:t>COMBE HAY CEMETERY</w:t>
      </w:r>
      <w:r w:rsidR="00055392" w:rsidRPr="007572D3">
        <w:rPr>
          <w:b/>
          <w:bCs/>
          <w:sz w:val="36"/>
          <w:szCs w:val="36"/>
        </w:rPr>
        <w:t xml:space="preserve"> RULES</w:t>
      </w:r>
    </w:p>
    <w:p w14:paraId="26362F31" w14:textId="77777777" w:rsidR="00E42122" w:rsidRPr="00E42122" w:rsidRDefault="00E42122" w:rsidP="00E42122">
      <w:pPr>
        <w:tabs>
          <w:tab w:val="left" w:pos="7740"/>
        </w:tabs>
        <w:rPr>
          <w:b/>
          <w:bCs/>
          <w:sz w:val="24"/>
          <w:szCs w:val="24"/>
        </w:rPr>
      </w:pPr>
      <w:r w:rsidRPr="00E42122">
        <w:rPr>
          <w:b/>
          <w:bCs/>
          <w:sz w:val="24"/>
          <w:szCs w:val="24"/>
        </w:rPr>
        <w:t xml:space="preserve">Contact: </w:t>
      </w:r>
      <w:r>
        <w:rPr>
          <w:b/>
          <w:bCs/>
          <w:sz w:val="24"/>
          <w:szCs w:val="24"/>
        </w:rPr>
        <w:t>combehayclerk@gmail.com</w:t>
      </w:r>
    </w:p>
    <w:p w14:paraId="0829FCCF" w14:textId="77777777" w:rsidR="007572D3" w:rsidRDefault="007572D3" w:rsidP="00246AFA">
      <w:pPr>
        <w:rPr>
          <w:b/>
          <w:bCs/>
          <w:color w:val="FF0000"/>
          <w:sz w:val="24"/>
          <w:szCs w:val="24"/>
        </w:rPr>
      </w:pPr>
    </w:p>
    <w:p w14:paraId="5B4BC1EF" w14:textId="48F96F62" w:rsidR="00246AFA" w:rsidRDefault="00156E22" w:rsidP="00E42122">
      <w:pPr>
        <w:tabs>
          <w:tab w:val="left" w:pos="7740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</w:t>
      </w:r>
      <w:r w:rsidR="000D1AD5">
        <w:rPr>
          <w:b/>
          <w:bCs/>
          <w:color w:val="FF0000"/>
          <w:sz w:val="24"/>
          <w:szCs w:val="24"/>
        </w:rPr>
        <w:t>onfirmed at</w:t>
      </w:r>
      <w:r w:rsidR="006E1275" w:rsidRPr="00873AF9">
        <w:rPr>
          <w:b/>
          <w:bCs/>
          <w:color w:val="FF0000"/>
          <w:sz w:val="24"/>
          <w:szCs w:val="24"/>
        </w:rPr>
        <w:t xml:space="preserve"> </w:t>
      </w:r>
      <w:r w:rsidR="000D1AD5">
        <w:rPr>
          <w:b/>
          <w:bCs/>
          <w:color w:val="FF0000"/>
          <w:sz w:val="24"/>
          <w:szCs w:val="24"/>
        </w:rPr>
        <w:t xml:space="preserve">the </w:t>
      </w:r>
      <w:r>
        <w:rPr>
          <w:b/>
          <w:bCs/>
          <w:color w:val="FF0000"/>
          <w:sz w:val="24"/>
          <w:szCs w:val="24"/>
        </w:rPr>
        <w:t xml:space="preserve">Full </w:t>
      </w:r>
      <w:r w:rsidR="000D1AD5">
        <w:rPr>
          <w:b/>
          <w:bCs/>
          <w:color w:val="FF0000"/>
          <w:sz w:val="24"/>
          <w:szCs w:val="24"/>
        </w:rPr>
        <w:t xml:space="preserve">Council meeting in </w:t>
      </w:r>
      <w:r w:rsidR="00873AF9" w:rsidRPr="00873AF9">
        <w:rPr>
          <w:b/>
          <w:bCs/>
          <w:color w:val="FF0000"/>
          <w:sz w:val="24"/>
          <w:szCs w:val="24"/>
        </w:rPr>
        <w:t>July 2025</w:t>
      </w:r>
      <w:r w:rsidR="00873AF9">
        <w:rPr>
          <w:b/>
          <w:bCs/>
          <w:color w:val="FF0000"/>
          <w:sz w:val="24"/>
          <w:szCs w:val="24"/>
        </w:rPr>
        <w:t>. Min</w:t>
      </w:r>
      <w:r>
        <w:rPr>
          <w:b/>
          <w:bCs/>
          <w:color w:val="FF0000"/>
          <w:sz w:val="24"/>
          <w:szCs w:val="24"/>
        </w:rPr>
        <w:t>.10.7.25 (b)</w:t>
      </w:r>
      <w:r w:rsidR="00E42122">
        <w:rPr>
          <w:b/>
          <w:bCs/>
          <w:color w:val="FF0000"/>
          <w:sz w:val="24"/>
          <w:szCs w:val="24"/>
        </w:rPr>
        <w:tab/>
      </w:r>
    </w:p>
    <w:p w14:paraId="3AFFC6EE" w14:textId="487D45A7" w:rsidR="00ED7C98" w:rsidRPr="00C3743B" w:rsidRDefault="003B0B14" w:rsidP="003B0B14">
      <w:pPr>
        <w:rPr>
          <w:b/>
          <w:bCs/>
          <w:sz w:val="24"/>
          <w:szCs w:val="24"/>
        </w:rPr>
      </w:pPr>
      <w:r w:rsidRPr="00C3743B">
        <w:rPr>
          <w:b/>
          <w:bCs/>
          <w:sz w:val="24"/>
          <w:szCs w:val="24"/>
        </w:rPr>
        <w:t>1.</w:t>
      </w:r>
      <w:r w:rsidR="00ED7C98" w:rsidRPr="00C3743B">
        <w:rPr>
          <w:b/>
          <w:bCs/>
          <w:sz w:val="24"/>
          <w:szCs w:val="24"/>
        </w:rPr>
        <w:t>Qua</w:t>
      </w:r>
      <w:r w:rsidR="00F0147E" w:rsidRPr="00C3743B">
        <w:rPr>
          <w:b/>
          <w:bCs/>
          <w:sz w:val="24"/>
          <w:szCs w:val="24"/>
        </w:rPr>
        <w:t>l</w:t>
      </w:r>
      <w:r w:rsidR="00ED7C98" w:rsidRPr="00C3743B">
        <w:rPr>
          <w:b/>
          <w:bCs/>
          <w:sz w:val="24"/>
          <w:szCs w:val="24"/>
        </w:rPr>
        <w:t>ifying criteria</w:t>
      </w:r>
      <w:r w:rsidR="00CB7786" w:rsidRPr="00C3743B">
        <w:rPr>
          <w:b/>
          <w:bCs/>
          <w:sz w:val="24"/>
          <w:szCs w:val="24"/>
        </w:rPr>
        <w:t xml:space="preserve"> and Rules</w:t>
      </w:r>
    </w:p>
    <w:p w14:paraId="25BA040D" w14:textId="20C40D06" w:rsidR="00526F47" w:rsidRPr="002F3728" w:rsidRDefault="00736E43" w:rsidP="002F372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2F3728">
        <w:rPr>
          <w:sz w:val="24"/>
          <w:szCs w:val="24"/>
        </w:rPr>
        <w:t>Combe Hay Ce</w:t>
      </w:r>
      <w:r w:rsidR="00246AFA" w:rsidRPr="002F3728">
        <w:rPr>
          <w:sz w:val="24"/>
          <w:szCs w:val="24"/>
        </w:rPr>
        <w:t>metery is owned and managed by Combe Hay Parish Council</w:t>
      </w:r>
      <w:r w:rsidR="005B6CDF" w:rsidRPr="002F3728">
        <w:rPr>
          <w:sz w:val="24"/>
          <w:szCs w:val="24"/>
        </w:rPr>
        <w:t xml:space="preserve"> on behalf of the community</w:t>
      </w:r>
      <w:r w:rsidR="00C66CEF" w:rsidRPr="002F3728">
        <w:rPr>
          <w:sz w:val="24"/>
          <w:szCs w:val="24"/>
        </w:rPr>
        <w:t xml:space="preserve">. </w:t>
      </w:r>
      <w:r w:rsidR="00F01313" w:rsidRPr="002F3728">
        <w:rPr>
          <w:sz w:val="24"/>
          <w:szCs w:val="24"/>
        </w:rPr>
        <w:t>All en</w:t>
      </w:r>
      <w:r w:rsidR="00391EA3" w:rsidRPr="002F3728">
        <w:rPr>
          <w:sz w:val="24"/>
          <w:szCs w:val="24"/>
        </w:rPr>
        <w:t xml:space="preserve">quiries </w:t>
      </w:r>
      <w:r w:rsidR="00C66CEF" w:rsidRPr="002F3728">
        <w:rPr>
          <w:sz w:val="24"/>
          <w:szCs w:val="24"/>
        </w:rPr>
        <w:t xml:space="preserve">should be addressed to the Clerk to the Council, whose contact details may be found </w:t>
      </w:r>
      <w:r w:rsidR="00DB62D6" w:rsidRPr="002F3728">
        <w:rPr>
          <w:sz w:val="24"/>
          <w:szCs w:val="24"/>
        </w:rPr>
        <w:t>at</w:t>
      </w:r>
      <w:r w:rsidR="00C422A0" w:rsidRPr="002F3728">
        <w:rPr>
          <w:sz w:val="24"/>
          <w:szCs w:val="24"/>
        </w:rPr>
        <w:t xml:space="preserve"> </w:t>
      </w:r>
      <w:hyperlink r:id="rId5" w:history="1">
        <w:r w:rsidR="00526F47" w:rsidRPr="002F3728">
          <w:rPr>
            <w:rStyle w:val="Hyperlink"/>
            <w:color w:val="auto"/>
            <w:sz w:val="24"/>
            <w:szCs w:val="24"/>
          </w:rPr>
          <w:t>http://combehaypc.org.uk/contact-us/</w:t>
        </w:r>
      </w:hyperlink>
    </w:p>
    <w:p w14:paraId="52EBFC44" w14:textId="77777777" w:rsidR="003B0B14" w:rsidRPr="003B0B14" w:rsidRDefault="003B0B14" w:rsidP="003B0B14">
      <w:pPr>
        <w:pStyle w:val="ListParagraph"/>
        <w:spacing w:after="120"/>
        <w:ind w:left="1080"/>
        <w:rPr>
          <w:b/>
          <w:bCs/>
          <w:sz w:val="24"/>
          <w:szCs w:val="24"/>
        </w:rPr>
      </w:pPr>
    </w:p>
    <w:p w14:paraId="6CE095A3" w14:textId="6A1C8399" w:rsidR="00616754" w:rsidRPr="003B0B14" w:rsidRDefault="00616754" w:rsidP="003B0B14">
      <w:pPr>
        <w:pStyle w:val="ListParagraph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3B0B14">
        <w:rPr>
          <w:sz w:val="24"/>
          <w:szCs w:val="24"/>
        </w:rPr>
        <w:t xml:space="preserve">Only </w:t>
      </w:r>
      <w:r w:rsidR="00E71A79" w:rsidRPr="003B0B14">
        <w:rPr>
          <w:sz w:val="24"/>
          <w:szCs w:val="24"/>
        </w:rPr>
        <w:t xml:space="preserve">present or former </w:t>
      </w:r>
      <w:r w:rsidRPr="003B0B14">
        <w:rPr>
          <w:sz w:val="24"/>
          <w:szCs w:val="24"/>
        </w:rPr>
        <w:t xml:space="preserve">residents </w:t>
      </w:r>
      <w:r w:rsidR="00E71A79" w:rsidRPr="003B0B14">
        <w:rPr>
          <w:sz w:val="24"/>
          <w:szCs w:val="24"/>
        </w:rPr>
        <w:t>(of at least 15 years) o</w:t>
      </w:r>
      <w:r w:rsidR="006C791D">
        <w:rPr>
          <w:sz w:val="24"/>
          <w:szCs w:val="24"/>
        </w:rPr>
        <w:t>f</w:t>
      </w:r>
      <w:r w:rsidRPr="003B0B14">
        <w:rPr>
          <w:sz w:val="24"/>
          <w:szCs w:val="24"/>
        </w:rPr>
        <w:t xml:space="preserve"> Combe Hay Parish</w:t>
      </w:r>
      <w:r w:rsidR="00E71A79" w:rsidRPr="003B0B14">
        <w:rPr>
          <w:sz w:val="24"/>
          <w:szCs w:val="24"/>
        </w:rPr>
        <w:t xml:space="preserve"> for have the right </w:t>
      </w:r>
      <w:r w:rsidR="00C66CEF" w:rsidRPr="003B0B14">
        <w:rPr>
          <w:sz w:val="24"/>
          <w:szCs w:val="24"/>
        </w:rPr>
        <w:t xml:space="preserve">to </w:t>
      </w:r>
      <w:r w:rsidR="00736E43" w:rsidRPr="003B0B14">
        <w:rPr>
          <w:sz w:val="24"/>
          <w:szCs w:val="24"/>
        </w:rPr>
        <w:t xml:space="preserve">be buried or </w:t>
      </w:r>
      <w:r w:rsidR="007661B8" w:rsidRPr="003B0B14">
        <w:rPr>
          <w:sz w:val="24"/>
          <w:szCs w:val="24"/>
        </w:rPr>
        <w:t xml:space="preserve">to </w:t>
      </w:r>
      <w:r w:rsidR="00736E43" w:rsidRPr="003B0B14">
        <w:rPr>
          <w:sz w:val="24"/>
          <w:szCs w:val="24"/>
        </w:rPr>
        <w:t>have their ashes interred in Combe Hay Cemetery</w:t>
      </w:r>
      <w:r w:rsidR="00E71A79" w:rsidRPr="003B0B14">
        <w:rPr>
          <w:sz w:val="24"/>
          <w:szCs w:val="24"/>
        </w:rPr>
        <w:t>.</w:t>
      </w:r>
    </w:p>
    <w:p w14:paraId="3DD6A142" w14:textId="77777777" w:rsidR="003B0B14" w:rsidRPr="003B0B14" w:rsidRDefault="003B0B14" w:rsidP="003B0B14">
      <w:pPr>
        <w:pStyle w:val="ListParagraph"/>
        <w:rPr>
          <w:b/>
          <w:bCs/>
          <w:sz w:val="24"/>
          <w:szCs w:val="24"/>
        </w:rPr>
      </w:pPr>
    </w:p>
    <w:p w14:paraId="3BFF15EF" w14:textId="7A01E666" w:rsidR="006E1275" w:rsidRPr="003B0B14" w:rsidRDefault="00246AFA" w:rsidP="003B0B14">
      <w:pPr>
        <w:pStyle w:val="ListParagraph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3B0B14">
        <w:rPr>
          <w:sz w:val="24"/>
          <w:szCs w:val="24"/>
        </w:rPr>
        <w:t>Qualifying individuals</w:t>
      </w:r>
      <w:r w:rsidR="00340C26" w:rsidRPr="003B0B14">
        <w:rPr>
          <w:sz w:val="24"/>
          <w:szCs w:val="24"/>
        </w:rPr>
        <w:t xml:space="preserve"> </w:t>
      </w:r>
      <w:r w:rsidRPr="003B0B14">
        <w:rPr>
          <w:sz w:val="24"/>
          <w:szCs w:val="24"/>
        </w:rPr>
        <w:t xml:space="preserve">may </w:t>
      </w:r>
      <w:r w:rsidR="0098120D" w:rsidRPr="003B0B14">
        <w:rPr>
          <w:sz w:val="24"/>
          <w:szCs w:val="24"/>
        </w:rPr>
        <w:t xml:space="preserve">during their lifetime </w:t>
      </w:r>
      <w:r w:rsidRPr="003B0B14">
        <w:rPr>
          <w:sz w:val="24"/>
          <w:szCs w:val="24"/>
        </w:rPr>
        <w:t>purchase</w:t>
      </w:r>
      <w:r w:rsidR="00521B88" w:rsidRPr="003B0B14">
        <w:rPr>
          <w:sz w:val="24"/>
          <w:szCs w:val="24"/>
        </w:rPr>
        <w:t xml:space="preserve"> exclusive use </w:t>
      </w:r>
      <w:r w:rsidR="007B3F4D" w:rsidRPr="003B0B14">
        <w:rPr>
          <w:sz w:val="24"/>
          <w:szCs w:val="24"/>
        </w:rPr>
        <w:t xml:space="preserve">of </w:t>
      </w:r>
      <w:r w:rsidRPr="003B0B14">
        <w:rPr>
          <w:sz w:val="24"/>
          <w:szCs w:val="24"/>
        </w:rPr>
        <w:t>a grave or ashes plot</w:t>
      </w:r>
      <w:r w:rsidR="002A3AD1" w:rsidRPr="003B0B14">
        <w:rPr>
          <w:sz w:val="24"/>
          <w:szCs w:val="24"/>
        </w:rPr>
        <w:t>.</w:t>
      </w:r>
    </w:p>
    <w:p w14:paraId="341CB3D7" w14:textId="77777777" w:rsidR="003B0B14" w:rsidRPr="003B0B14" w:rsidRDefault="003B0B14" w:rsidP="003B0B14">
      <w:pPr>
        <w:pStyle w:val="ListParagraph"/>
        <w:rPr>
          <w:b/>
          <w:bCs/>
          <w:sz w:val="24"/>
          <w:szCs w:val="24"/>
        </w:rPr>
      </w:pPr>
    </w:p>
    <w:p w14:paraId="2A78E846" w14:textId="365BBA71" w:rsidR="00736E43" w:rsidRPr="003B0B14" w:rsidRDefault="00F04848" w:rsidP="003B0B14">
      <w:pPr>
        <w:pStyle w:val="ListParagraph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3B0B14">
        <w:rPr>
          <w:sz w:val="24"/>
          <w:szCs w:val="24"/>
        </w:rPr>
        <w:t>The executor</w:t>
      </w:r>
      <w:r w:rsidR="000E6493" w:rsidRPr="003B0B14">
        <w:rPr>
          <w:sz w:val="24"/>
          <w:szCs w:val="24"/>
        </w:rPr>
        <w:t xml:space="preserve">s </w:t>
      </w:r>
      <w:r w:rsidRPr="003B0B14">
        <w:rPr>
          <w:sz w:val="24"/>
          <w:szCs w:val="24"/>
        </w:rPr>
        <w:t xml:space="preserve">or </w:t>
      </w:r>
      <w:r w:rsidR="00EA356B" w:rsidRPr="003B0B14">
        <w:rPr>
          <w:sz w:val="24"/>
          <w:szCs w:val="24"/>
        </w:rPr>
        <w:t>relatives</w:t>
      </w:r>
      <w:r w:rsidRPr="003B0B14">
        <w:rPr>
          <w:sz w:val="24"/>
          <w:szCs w:val="24"/>
        </w:rPr>
        <w:t xml:space="preserve"> of </w:t>
      </w:r>
      <w:r w:rsidR="00C34A97" w:rsidRPr="003B0B14">
        <w:rPr>
          <w:sz w:val="24"/>
          <w:szCs w:val="24"/>
        </w:rPr>
        <w:t xml:space="preserve">anyone else </w:t>
      </w:r>
      <w:r w:rsidR="00736E43" w:rsidRPr="003B0B14">
        <w:rPr>
          <w:sz w:val="24"/>
          <w:szCs w:val="24"/>
        </w:rPr>
        <w:t xml:space="preserve">with a strong connection to the parish </w:t>
      </w:r>
      <w:r w:rsidR="00246AFA" w:rsidRPr="003B0B14">
        <w:rPr>
          <w:sz w:val="24"/>
          <w:szCs w:val="24"/>
        </w:rPr>
        <w:t xml:space="preserve">may apply to the Parish Council for </w:t>
      </w:r>
      <w:r w:rsidRPr="003B0B14">
        <w:rPr>
          <w:sz w:val="24"/>
          <w:szCs w:val="24"/>
        </w:rPr>
        <w:t>permission for th</w:t>
      </w:r>
      <w:r w:rsidR="001232E1" w:rsidRPr="003B0B14">
        <w:rPr>
          <w:sz w:val="24"/>
          <w:szCs w:val="24"/>
        </w:rPr>
        <w:t>at person</w:t>
      </w:r>
      <w:r w:rsidRPr="003B0B14">
        <w:rPr>
          <w:sz w:val="24"/>
          <w:szCs w:val="24"/>
        </w:rPr>
        <w:t xml:space="preserve"> to be buried or have their ashes interred. The council will consider each case on its merits.</w:t>
      </w:r>
    </w:p>
    <w:p w14:paraId="071E340C" w14:textId="77777777" w:rsidR="003B0B14" w:rsidRPr="003B0B14" w:rsidRDefault="003B0B14" w:rsidP="003B0B14">
      <w:pPr>
        <w:pStyle w:val="ListParagraph"/>
        <w:rPr>
          <w:b/>
          <w:bCs/>
          <w:sz w:val="24"/>
          <w:szCs w:val="24"/>
        </w:rPr>
      </w:pPr>
    </w:p>
    <w:p w14:paraId="5DF18658" w14:textId="649B011F" w:rsidR="00012E81" w:rsidRPr="00012E81" w:rsidRDefault="00CB7786" w:rsidP="003B0B14">
      <w:pPr>
        <w:pStyle w:val="ListParagraph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BF7002">
        <w:rPr>
          <w:sz w:val="24"/>
          <w:szCs w:val="24"/>
        </w:rPr>
        <w:t>At least one week’s notice of intended burial in a purchased plot must be given to the Council</w:t>
      </w:r>
    </w:p>
    <w:p w14:paraId="15BBC73F" w14:textId="77777777" w:rsidR="00012E81" w:rsidRPr="00012E81" w:rsidRDefault="00012E81" w:rsidP="00012E81">
      <w:pPr>
        <w:pStyle w:val="ListParagraph"/>
        <w:rPr>
          <w:sz w:val="24"/>
          <w:szCs w:val="24"/>
        </w:rPr>
      </w:pPr>
    </w:p>
    <w:p w14:paraId="243EA500" w14:textId="3A556581" w:rsidR="00012E81" w:rsidRPr="006C791D" w:rsidRDefault="002803D5" w:rsidP="00012E81">
      <w:pPr>
        <w:pStyle w:val="ListParagraph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6C791D">
        <w:rPr>
          <w:sz w:val="24"/>
          <w:szCs w:val="24"/>
        </w:rPr>
        <w:t>E</w:t>
      </w:r>
      <w:r w:rsidR="00521B88" w:rsidRPr="006C791D">
        <w:rPr>
          <w:sz w:val="24"/>
          <w:szCs w:val="24"/>
        </w:rPr>
        <w:t xml:space="preserve">xclusive use of </w:t>
      </w:r>
      <w:r w:rsidR="006C73E7" w:rsidRPr="006C791D">
        <w:rPr>
          <w:sz w:val="24"/>
          <w:szCs w:val="24"/>
        </w:rPr>
        <w:t xml:space="preserve">a </w:t>
      </w:r>
      <w:r w:rsidR="000C7AEA" w:rsidRPr="006C791D">
        <w:rPr>
          <w:sz w:val="24"/>
          <w:szCs w:val="24"/>
        </w:rPr>
        <w:t>p</w:t>
      </w:r>
      <w:r w:rsidR="00F04848" w:rsidRPr="006C791D">
        <w:rPr>
          <w:sz w:val="24"/>
          <w:szCs w:val="24"/>
        </w:rPr>
        <w:t>lot</w:t>
      </w:r>
      <w:r w:rsidR="006C73E7" w:rsidRPr="006C791D">
        <w:rPr>
          <w:sz w:val="24"/>
          <w:szCs w:val="24"/>
        </w:rPr>
        <w:t xml:space="preserve"> is</w:t>
      </w:r>
      <w:r w:rsidR="00F04848" w:rsidRPr="006C791D">
        <w:rPr>
          <w:sz w:val="24"/>
          <w:szCs w:val="24"/>
        </w:rPr>
        <w:t xml:space="preserve"> for a </w:t>
      </w:r>
      <w:r w:rsidR="001232E1" w:rsidRPr="006C791D">
        <w:rPr>
          <w:sz w:val="24"/>
          <w:szCs w:val="24"/>
        </w:rPr>
        <w:t>term</w:t>
      </w:r>
      <w:r w:rsidR="00F04848" w:rsidRPr="006C791D">
        <w:rPr>
          <w:sz w:val="24"/>
          <w:szCs w:val="24"/>
        </w:rPr>
        <w:t xml:space="preserve"> of 99 years (not ‘in perpetuity’). </w:t>
      </w:r>
    </w:p>
    <w:p w14:paraId="5EDC6EF0" w14:textId="77777777" w:rsidR="006C791D" w:rsidRPr="006C791D" w:rsidRDefault="006C791D" w:rsidP="006C791D">
      <w:pPr>
        <w:pStyle w:val="ListParagraph"/>
        <w:rPr>
          <w:b/>
          <w:bCs/>
          <w:sz w:val="24"/>
          <w:szCs w:val="24"/>
        </w:rPr>
      </w:pPr>
    </w:p>
    <w:p w14:paraId="6D728EC8" w14:textId="77777777" w:rsidR="006C791D" w:rsidRPr="006C791D" w:rsidRDefault="006C791D" w:rsidP="006C791D">
      <w:pPr>
        <w:pStyle w:val="ListParagraph"/>
        <w:spacing w:after="120"/>
        <w:ind w:left="1080"/>
        <w:rPr>
          <w:b/>
          <w:bCs/>
          <w:sz w:val="24"/>
          <w:szCs w:val="24"/>
        </w:rPr>
      </w:pPr>
    </w:p>
    <w:p w14:paraId="6DF68810" w14:textId="63C19F34" w:rsidR="00C3743B" w:rsidRPr="00C3743B" w:rsidRDefault="006C2031" w:rsidP="00C3743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002">
        <w:rPr>
          <w:sz w:val="24"/>
          <w:szCs w:val="24"/>
        </w:rPr>
        <w:t>Permission for any memorial must be obtained from the</w:t>
      </w:r>
      <w:r w:rsidR="006C791D">
        <w:rPr>
          <w:sz w:val="24"/>
          <w:szCs w:val="24"/>
        </w:rPr>
        <w:t xml:space="preserve"> Parish</w:t>
      </w:r>
      <w:r w:rsidRPr="00BF7002">
        <w:rPr>
          <w:sz w:val="24"/>
          <w:szCs w:val="24"/>
        </w:rPr>
        <w:t xml:space="preserve"> Council. Drawings, proposed wording and construction details must be provided. </w:t>
      </w:r>
    </w:p>
    <w:p w14:paraId="595F153B" w14:textId="77777777" w:rsidR="00C3743B" w:rsidRPr="00C3743B" w:rsidRDefault="00C3743B" w:rsidP="00C3743B">
      <w:pPr>
        <w:pStyle w:val="ListParagraph"/>
        <w:rPr>
          <w:b/>
          <w:bCs/>
          <w:sz w:val="24"/>
          <w:szCs w:val="24"/>
        </w:rPr>
      </w:pPr>
    </w:p>
    <w:p w14:paraId="1BF9CDF6" w14:textId="77777777" w:rsidR="00C3743B" w:rsidRPr="00C3743B" w:rsidRDefault="00C3743B" w:rsidP="00C3743B">
      <w:pPr>
        <w:pStyle w:val="ListParagraph"/>
        <w:ind w:left="1080"/>
        <w:rPr>
          <w:b/>
          <w:bCs/>
          <w:sz w:val="24"/>
          <w:szCs w:val="24"/>
        </w:rPr>
      </w:pPr>
    </w:p>
    <w:p w14:paraId="6FBD01C1" w14:textId="465A204E" w:rsidR="00C3743B" w:rsidRPr="00C3743B" w:rsidRDefault="00C3743B" w:rsidP="00C3743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C3743B">
        <w:rPr>
          <w:sz w:val="24"/>
          <w:szCs w:val="24"/>
        </w:rPr>
        <w:t xml:space="preserve">A register and plan of plots is maintained by the </w:t>
      </w:r>
      <w:r w:rsidR="006C791D">
        <w:rPr>
          <w:sz w:val="24"/>
          <w:szCs w:val="24"/>
        </w:rPr>
        <w:t xml:space="preserve">Parish </w:t>
      </w:r>
      <w:r w:rsidRPr="00C3743B">
        <w:rPr>
          <w:sz w:val="24"/>
          <w:szCs w:val="24"/>
        </w:rPr>
        <w:t>Council.</w:t>
      </w:r>
    </w:p>
    <w:p w14:paraId="0F755B5C" w14:textId="77777777" w:rsidR="00012E81" w:rsidRPr="003B0B14" w:rsidRDefault="00012E81" w:rsidP="007572D3">
      <w:pPr>
        <w:pStyle w:val="ListParagraph"/>
        <w:spacing w:after="120"/>
        <w:ind w:left="1080"/>
        <w:rPr>
          <w:b/>
          <w:bCs/>
          <w:sz w:val="24"/>
          <w:szCs w:val="24"/>
        </w:rPr>
      </w:pPr>
    </w:p>
    <w:p w14:paraId="6BFB4AEF" w14:textId="77777777" w:rsidR="002F3728" w:rsidRDefault="002F3728" w:rsidP="00F0147E">
      <w:pPr>
        <w:rPr>
          <w:b/>
          <w:bCs/>
          <w:sz w:val="24"/>
          <w:szCs w:val="24"/>
        </w:rPr>
      </w:pPr>
    </w:p>
    <w:p w14:paraId="5AC69DCE" w14:textId="761276E8" w:rsidR="00873AF9" w:rsidRPr="00C3743B" w:rsidRDefault="002F3728" w:rsidP="002F3728">
      <w:pPr>
        <w:rPr>
          <w:b/>
          <w:bCs/>
          <w:sz w:val="24"/>
          <w:szCs w:val="24"/>
        </w:rPr>
      </w:pPr>
      <w:r w:rsidRPr="00C3743B">
        <w:rPr>
          <w:b/>
          <w:bCs/>
          <w:sz w:val="24"/>
          <w:szCs w:val="24"/>
        </w:rPr>
        <w:t xml:space="preserve">2. </w:t>
      </w:r>
      <w:r w:rsidR="002C03F9" w:rsidRPr="00C3743B">
        <w:rPr>
          <w:b/>
          <w:bCs/>
          <w:sz w:val="24"/>
          <w:szCs w:val="24"/>
        </w:rPr>
        <w:t>Technical specifications</w:t>
      </w:r>
    </w:p>
    <w:p w14:paraId="5A95BE69" w14:textId="5694FC56" w:rsidR="00727C4E" w:rsidRDefault="002F3728" w:rsidP="002F3728">
      <w:pPr>
        <w:ind w:left="720"/>
        <w:rPr>
          <w:sz w:val="24"/>
          <w:szCs w:val="24"/>
        </w:rPr>
      </w:pPr>
      <w:r w:rsidRPr="002F3728">
        <w:rPr>
          <w:sz w:val="24"/>
          <w:szCs w:val="24"/>
        </w:rPr>
        <w:t>a.</w:t>
      </w:r>
      <w:r>
        <w:rPr>
          <w:b/>
          <w:bCs/>
          <w:sz w:val="24"/>
          <w:szCs w:val="24"/>
        </w:rPr>
        <w:t xml:space="preserve"> </w:t>
      </w:r>
      <w:r w:rsidR="00CB7786">
        <w:rPr>
          <w:b/>
          <w:bCs/>
          <w:sz w:val="24"/>
          <w:szCs w:val="24"/>
        </w:rPr>
        <w:t xml:space="preserve">  </w:t>
      </w:r>
      <w:r w:rsidR="00E76512" w:rsidRPr="002F3728">
        <w:rPr>
          <w:sz w:val="24"/>
          <w:szCs w:val="24"/>
        </w:rPr>
        <w:t>The</w:t>
      </w:r>
      <w:r w:rsidR="00451B4D" w:rsidRPr="002F3728">
        <w:rPr>
          <w:sz w:val="24"/>
          <w:szCs w:val="24"/>
        </w:rPr>
        <w:t xml:space="preserve"> </w:t>
      </w:r>
      <w:r w:rsidR="002119DF" w:rsidRPr="002F3728">
        <w:rPr>
          <w:sz w:val="24"/>
          <w:szCs w:val="24"/>
        </w:rPr>
        <w:t xml:space="preserve">size </w:t>
      </w:r>
      <w:r w:rsidR="006C791D">
        <w:rPr>
          <w:sz w:val="24"/>
          <w:szCs w:val="24"/>
        </w:rPr>
        <w:t>of</w:t>
      </w:r>
      <w:r w:rsidR="002119DF" w:rsidRPr="002F3728">
        <w:rPr>
          <w:sz w:val="24"/>
          <w:szCs w:val="24"/>
        </w:rPr>
        <w:t xml:space="preserve"> a grave plot </w:t>
      </w:r>
      <w:r w:rsidR="00316A17" w:rsidRPr="002F3728">
        <w:rPr>
          <w:sz w:val="24"/>
          <w:szCs w:val="24"/>
        </w:rPr>
        <w:t xml:space="preserve">is </w:t>
      </w:r>
      <w:r w:rsidR="00862667" w:rsidRPr="002F3728">
        <w:rPr>
          <w:sz w:val="24"/>
          <w:szCs w:val="24"/>
        </w:rPr>
        <w:t xml:space="preserve">2’ 6” x </w:t>
      </w:r>
      <w:r w:rsidR="00D51C8E" w:rsidRPr="002F3728">
        <w:rPr>
          <w:sz w:val="24"/>
          <w:szCs w:val="24"/>
        </w:rPr>
        <w:t>8’</w:t>
      </w:r>
    </w:p>
    <w:p w14:paraId="48A973E3" w14:textId="4DE25EFD" w:rsidR="00451B4D" w:rsidRDefault="002F3728" w:rsidP="002F3728">
      <w:pPr>
        <w:ind w:left="720"/>
        <w:rPr>
          <w:sz w:val="24"/>
          <w:szCs w:val="24"/>
        </w:rPr>
      </w:pPr>
      <w:r>
        <w:rPr>
          <w:sz w:val="24"/>
          <w:szCs w:val="24"/>
        </w:rPr>
        <w:t>b.</w:t>
      </w:r>
      <w:r w:rsidR="00CB77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1B4D" w:rsidRPr="002F3728">
        <w:rPr>
          <w:sz w:val="24"/>
          <w:szCs w:val="24"/>
        </w:rPr>
        <w:t>Companion grave plots are ‘double deep’</w:t>
      </w:r>
      <w:r w:rsidR="00127F45" w:rsidRPr="002F3728">
        <w:rPr>
          <w:sz w:val="24"/>
          <w:szCs w:val="24"/>
        </w:rPr>
        <w:t>, not double width</w:t>
      </w:r>
      <w:r w:rsidR="003749B1" w:rsidRPr="002F3728">
        <w:rPr>
          <w:sz w:val="24"/>
          <w:szCs w:val="24"/>
        </w:rPr>
        <w:t>.</w:t>
      </w:r>
    </w:p>
    <w:p w14:paraId="2CFBC0B9" w14:textId="0062DEAA" w:rsidR="007F3B6B" w:rsidRDefault="002F3728" w:rsidP="003D18E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CB7786">
        <w:rPr>
          <w:sz w:val="24"/>
          <w:szCs w:val="24"/>
        </w:rPr>
        <w:t xml:space="preserve"> </w:t>
      </w:r>
      <w:r w:rsidR="007F3B6B" w:rsidRPr="003D18E9">
        <w:rPr>
          <w:sz w:val="24"/>
          <w:szCs w:val="24"/>
        </w:rPr>
        <w:t xml:space="preserve">The maximum </w:t>
      </w:r>
      <w:r w:rsidR="00E16CE5" w:rsidRPr="003D18E9">
        <w:rPr>
          <w:sz w:val="24"/>
          <w:szCs w:val="24"/>
        </w:rPr>
        <w:t>permitted size for</w:t>
      </w:r>
      <w:r w:rsidR="00451B4D" w:rsidRPr="003D18E9">
        <w:rPr>
          <w:sz w:val="24"/>
          <w:szCs w:val="24"/>
        </w:rPr>
        <w:t xml:space="preserve"> a</w:t>
      </w:r>
      <w:r w:rsidR="00E16CE5" w:rsidRPr="003D18E9">
        <w:rPr>
          <w:sz w:val="24"/>
          <w:szCs w:val="24"/>
        </w:rPr>
        <w:t xml:space="preserve"> </w:t>
      </w:r>
      <w:r w:rsidR="00E76512" w:rsidRPr="003D18E9">
        <w:rPr>
          <w:sz w:val="24"/>
          <w:szCs w:val="24"/>
        </w:rPr>
        <w:t>headstone</w:t>
      </w:r>
      <w:r w:rsidR="00A462E8" w:rsidRPr="003D18E9">
        <w:rPr>
          <w:sz w:val="24"/>
          <w:szCs w:val="24"/>
        </w:rPr>
        <w:t xml:space="preserve"> is </w:t>
      </w:r>
      <w:r w:rsidR="00B12EAE" w:rsidRPr="003D18E9">
        <w:rPr>
          <w:sz w:val="24"/>
          <w:szCs w:val="24"/>
        </w:rPr>
        <w:t>2</w:t>
      </w:r>
      <w:r w:rsidR="007D40AB" w:rsidRPr="003D18E9">
        <w:rPr>
          <w:sz w:val="24"/>
          <w:szCs w:val="24"/>
        </w:rPr>
        <w:t>’</w:t>
      </w:r>
      <w:r w:rsidR="00B12EAE" w:rsidRPr="003D18E9">
        <w:rPr>
          <w:sz w:val="24"/>
          <w:szCs w:val="24"/>
        </w:rPr>
        <w:t xml:space="preserve"> x 1</w:t>
      </w:r>
      <w:r w:rsidR="007D40AB" w:rsidRPr="003D18E9">
        <w:rPr>
          <w:sz w:val="24"/>
          <w:szCs w:val="24"/>
        </w:rPr>
        <w:t>’</w:t>
      </w:r>
      <w:r w:rsidR="00B12EAE" w:rsidRPr="003D18E9">
        <w:rPr>
          <w:sz w:val="24"/>
          <w:szCs w:val="24"/>
        </w:rPr>
        <w:t xml:space="preserve"> x 4"</w:t>
      </w:r>
      <w:r w:rsidR="00451B4D" w:rsidRPr="003D18E9">
        <w:rPr>
          <w:sz w:val="24"/>
          <w:szCs w:val="24"/>
        </w:rPr>
        <w:t>.</w:t>
      </w:r>
    </w:p>
    <w:p w14:paraId="0DD42345" w14:textId="6C04CF8F" w:rsidR="00F04848" w:rsidRDefault="003D18E9" w:rsidP="003D18E9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</w:t>
      </w:r>
      <w:r w:rsidR="00CB7786">
        <w:rPr>
          <w:sz w:val="24"/>
          <w:szCs w:val="24"/>
        </w:rPr>
        <w:t xml:space="preserve"> </w:t>
      </w:r>
      <w:r w:rsidR="00BE0332" w:rsidRPr="003D18E9">
        <w:rPr>
          <w:sz w:val="24"/>
          <w:szCs w:val="24"/>
        </w:rPr>
        <w:t>Horizontal kerbs</w:t>
      </w:r>
      <w:r w:rsidR="00C66CEF" w:rsidRPr="003D18E9">
        <w:rPr>
          <w:sz w:val="24"/>
          <w:szCs w:val="24"/>
        </w:rPr>
        <w:t xml:space="preserve"> around grave plots</w:t>
      </w:r>
      <w:r w:rsidR="0041290D" w:rsidRPr="003D18E9">
        <w:rPr>
          <w:sz w:val="24"/>
          <w:szCs w:val="24"/>
        </w:rPr>
        <w:t xml:space="preserve"> are not permitted for new graves</w:t>
      </w:r>
      <w:r w:rsidR="0011572E" w:rsidRPr="003D18E9">
        <w:rPr>
          <w:sz w:val="24"/>
          <w:szCs w:val="24"/>
        </w:rPr>
        <w:t>.</w:t>
      </w:r>
    </w:p>
    <w:p w14:paraId="577229B5" w14:textId="0F9B9CCF" w:rsidR="00421AB1" w:rsidRDefault="003D18E9" w:rsidP="003D18E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="00CB7786">
        <w:rPr>
          <w:sz w:val="24"/>
          <w:szCs w:val="24"/>
        </w:rPr>
        <w:t xml:space="preserve"> </w:t>
      </w:r>
      <w:r w:rsidR="00B46E72" w:rsidRPr="003D18E9">
        <w:rPr>
          <w:sz w:val="24"/>
          <w:szCs w:val="24"/>
        </w:rPr>
        <w:t xml:space="preserve">The dimensions for an ashes plot are </w:t>
      </w:r>
      <w:r w:rsidR="006A07A6" w:rsidRPr="003D18E9">
        <w:rPr>
          <w:sz w:val="24"/>
          <w:szCs w:val="24"/>
        </w:rPr>
        <w:t>2’ x 3’</w:t>
      </w:r>
    </w:p>
    <w:p w14:paraId="036E54D8" w14:textId="03700FD4" w:rsidR="004F64B9" w:rsidRPr="00DB18CF" w:rsidRDefault="002C03F9" w:rsidP="002C03F9">
      <w:pPr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f. </w:t>
      </w:r>
      <w:r w:rsidR="00CB7786">
        <w:rPr>
          <w:sz w:val="24"/>
          <w:szCs w:val="24"/>
        </w:rPr>
        <w:t xml:space="preserve">  </w:t>
      </w:r>
      <w:r w:rsidR="004F64B9" w:rsidRPr="00156E22">
        <w:rPr>
          <w:sz w:val="24"/>
          <w:szCs w:val="24"/>
        </w:rPr>
        <w:t xml:space="preserve">Plots on the new </w:t>
      </w:r>
      <w:r w:rsidR="00DB18CF" w:rsidRPr="00156E22">
        <w:rPr>
          <w:sz w:val="24"/>
          <w:szCs w:val="24"/>
        </w:rPr>
        <w:t xml:space="preserve">part of the cemetery </w:t>
      </w:r>
      <w:r w:rsidR="006C791D" w:rsidRPr="00156E22">
        <w:rPr>
          <w:sz w:val="24"/>
          <w:szCs w:val="24"/>
        </w:rPr>
        <w:t>will be</w:t>
      </w:r>
      <w:r w:rsidR="00DB18CF" w:rsidRPr="00156E22">
        <w:rPr>
          <w:sz w:val="24"/>
          <w:szCs w:val="24"/>
        </w:rPr>
        <w:t xml:space="preserve"> allocated in a consecutive order.</w:t>
      </w:r>
    </w:p>
    <w:p w14:paraId="14477C32" w14:textId="190A14D8" w:rsidR="00A75A0D" w:rsidRDefault="004F64B9" w:rsidP="002C03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r w:rsidR="00E74253" w:rsidRPr="002C03F9">
        <w:rPr>
          <w:sz w:val="24"/>
          <w:szCs w:val="24"/>
        </w:rPr>
        <w:t>Ashes must be buried in the ground or in a biodegradable container. They may not be scattered.</w:t>
      </w:r>
    </w:p>
    <w:p w14:paraId="48236501" w14:textId="0347ED52" w:rsidR="003504F7" w:rsidRDefault="00DB18CF" w:rsidP="002C03F9">
      <w:pPr>
        <w:ind w:left="720"/>
        <w:rPr>
          <w:sz w:val="24"/>
          <w:szCs w:val="24"/>
        </w:rPr>
      </w:pPr>
      <w:r>
        <w:rPr>
          <w:sz w:val="24"/>
          <w:szCs w:val="24"/>
        </w:rPr>
        <w:t>h</w:t>
      </w:r>
      <w:r w:rsidR="002C03F9">
        <w:rPr>
          <w:sz w:val="24"/>
          <w:szCs w:val="24"/>
        </w:rPr>
        <w:t xml:space="preserve">. </w:t>
      </w:r>
      <w:r w:rsidR="00CB7786">
        <w:rPr>
          <w:sz w:val="24"/>
          <w:szCs w:val="24"/>
        </w:rPr>
        <w:t xml:space="preserve"> </w:t>
      </w:r>
      <w:r w:rsidR="009D4D19" w:rsidRPr="002C03F9">
        <w:rPr>
          <w:sz w:val="24"/>
          <w:szCs w:val="24"/>
        </w:rPr>
        <w:t>The burial ground is not consecrated</w:t>
      </w:r>
      <w:r w:rsidR="00622B7B" w:rsidRPr="002C03F9">
        <w:rPr>
          <w:sz w:val="24"/>
          <w:szCs w:val="24"/>
        </w:rPr>
        <w:t>.</w:t>
      </w:r>
    </w:p>
    <w:p w14:paraId="0E104B1E" w14:textId="7BAB2175" w:rsidR="00686877" w:rsidRDefault="00DB18CF" w:rsidP="00012E81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012E81">
        <w:rPr>
          <w:sz w:val="24"/>
          <w:szCs w:val="24"/>
        </w:rPr>
        <w:t xml:space="preserve">. </w:t>
      </w:r>
      <w:r w:rsidR="006C2031">
        <w:rPr>
          <w:sz w:val="24"/>
          <w:szCs w:val="24"/>
        </w:rPr>
        <w:t xml:space="preserve"> </w:t>
      </w:r>
      <w:r w:rsidR="00686877" w:rsidRPr="00012E81">
        <w:rPr>
          <w:sz w:val="24"/>
          <w:szCs w:val="24"/>
        </w:rPr>
        <w:t xml:space="preserve">The </w:t>
      </w:r>
      <w:r w:rsidR="006C791D">
        <w:rPr>
          <w:sz w:val="24"/>
          <w:szCs w:val="24"/>
        </w:rPr>
        <w:t xml:space="preserve">Parish </w:t>
      </w:r>
      <w:r w:rsidR="00686877" w:rsidRPr="00012E81">
        <w:rPr>
          <w:sz w:val="24"/>
          <w:szCs w:val="24"/>
        </w:rPr>
        <w:t>Council reserves the right</w:t>
      </w:r>
      <w:r w:rsidR="00AA4E05" w:rsidRPr="00012E81">
        <w:rPr>
          <w:sz w:val="24"/>
          <w:szCs w:val="24"/>
        </w:rPr>
        <w:t xml:space="preserve"> to lay down </w:t>
      </w:r>
      <w:r w:rsidR="00111EDA" w:rsidRPr="00012E81">
        <w:rPr>
          <w:sz w:val="24"/>
          <w:szCs w:val="24"/>
        </w:rPr>
        <w:t xml:space="preserve">on the ground </w:t>
      </w:r>
      <w:r w:rsidR="00AA4E05" w:rsidRPr="00012E81">
        <w:rPr>
          <w:sz w:val="24"/>
          <w:szCs w:val="24"/>
        </w:rPr>
        <w:t>any</w:t>
      </w:r>
      <w:r w:rsidR="00BA7D7E" w:rsidRPr="00012E81">
        <w:rPr>
          <w:sz w:val="24"/>
          <w:szCs w:val="24"/>
        </w:rPr>
        <w:t xml:space="preserve"> </w:t>
      </w:r>
      <w:r w:rsidR="00AA4E05" w:rsidRPr="00012E81">
        <w:rPr>
          <w:sz w:val="24"/>
          <w:szCs w:val="24"/>
        </w:rPr>
        <w:t xml:space="preserve">memorial </w:t>
      </w:r>
      <w:proofErr w:type="gramStart"/>
      <w:r w:rsidR="00AA4E05" w:rsidRPr="00012E81">
        <w:rPr>
          <w:sz w:val="24"/>
          <w:szCs w:val="24"/>
        </w:rPr>
        <w:t>found,</w:t>
      </w:r>
      <w:proofErr w:type="gramEnd"/>
      <w:r w:rsidR="00AA4E05" w:rsidRPr="00012E81">
        <w:rPr>
          <w:sz w:val="24"/>
          <w:szCs w:val="24"/>
        </w:rPr>
        <w:t xml:space="preserve"> on the application of reasonable hand pressure, not to be stable</w:t>
      </w:r>
      <w:r w:rsidR="00D40A72" w:rsidRPr="00012E81">
        <w:rPr>
          <w:sz w:val="24"/>
          <w:szCs w:val="24"/>
        </w:rPr>
        <w:t>.</w:t>
      </w:r>
    </w:p>
    <w:p w14:paraId="6DBEA7CA" w14:textId="2C58DF26" w:rsidR="00CB0EC4" w:rsidRDefault="00CB0EC4" w:rsidP="00C3743B">
      <w:pPr>
        <w:rPr>
          <w:sz w:val="24"/>
          <w:szCs w:val="24"/>
        </w:rPr>
      </w:pPr>
    </w:p>
    <w:p w14:paraId="1B912EEA" w14:textId="19B196A3" w:rsidR="0086150E" w:rsidRPr="006C791D" w:rsidRDefault="00C3743B" w:rsidP="006C791D">
      <w:pPr>
        <w:rPr>
          <w:b/>
          <w:bCs/>
          <w:sz w:val="24"/>
          <w:szCs w:val="24"/>
        </w:rPr>
      </w:pPr>
      <w:r w:rsidRPr="00C3743B">
        <w:rPr>
          <w:b/>
          <w:bCs/>
          <w:sz w:val="24"/>
          <w:szCs w:val="24"/>
        </w:rPr>
        <w:t>3. General Rules:</w:t>
      </w:r>
    </w:p>
    <w:p w14:paraId="55AD7728" w14:textId="50E7DD2A" w:rsidR="00451B4D" w:rsidRPr="00A84CA7" w:rsidRDefault="006C791D" w:rsidP="00A84CA7">
      <w:p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a. </w:t>
      </w:r>
      <w:r w:rsidR="00713F6A" w:rsidRPr="00A84CA7">
        <w:rPr>
          <w:sz w:val="24"/>
          <w:szCs w:val="24"/>
        </w:rPr>
        <w:t>Dogs</w:t>
      </w:r>
      <w:r w:rsidR="00740420" w:rsidRPr="00A84CA7">
        <w:rPr>
          <w:sz w:val="24"/>
          <w:szCs w:val="24"/>
        </w:rPr>
        <w:t xml:space="preserve"> must be kept on a lead</w:t>
      </w:r>
      <w:r w:rsidR="00F55F55" w:rsidRPr="00A84CA7">
        <w:rPr>
          <w:sz w:val="24"/>
          <w:szCs w:val="24"/>
        </w:rPr>
        <w:t xml:space="preserve"> </w:t>
      </w:r>
      <w:r w:rsidR="00740420" w:rsidRPr="00A84CA7">
        <w:rPr>
          <w:sz w:val="24"/>
          <w:szCs w:val="24"/>
        </w:rPr>
        <w:t>in the cemetery.</w:t>
      </w:r>
    </w:p>
    <w:p w14:paraId="4FD85914" w14:textId="51A5B729" w:rsidR="005143D6" w:rsidRDefault="004A3BF0" w:rsidP="004D1218">
      <w:pPr>
        <w:rPr>
          <w:b/>
          <w:bCs/>
          <w:sz w:val="24"/>
          <w:szCs w:val="24"/>
        </w:rPr>
      </w:pPr>
      <w:r w:rsidRPr="00BF7002">
        <w:rPr>
          <w:b/>
          <w:bCs/>
          <w:sz w:val="24"/>
          <w:szCs w:val="24"/>
        </w:rPr>
        <w:t>CHARGES</w:t>
      </w:r>
      <w:r w:rsidR="00814CEC" w:rsidRPr="00BF7002">
        <w:rPr>
          <w:b/>
          <w:bCs/>
          <w:sz w:val="24"/>
          <w:szCs w:val="24"/>
        </w:rPr>
        <w:t xml:space="preserve"> </w:t>
      </w:r>
    </w:p>
    <w:p w14:paraId="33900FEC" w14:textId="77777777" w:rsidR="005143D6" w:rsidRDefault="005143D6" w:rsidP="004D121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5143D6" w14:paraId="23ACB295" w14:textId="77777777" w:rsidTr="005143D6">
        <w:tc>
          <w:tcPr>
            <w:tcW w:w="5807" w:type="dxa"/>
          </w:tcPr>
          <w:p w14:paraId="75AA23C8" w14:textId="77777777" w:rsidR="005143D6" w:rsidRDefault="005143D6" w:rsidP="004D12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Purchase of grave space</w:t>
            </w:r>
          </w:p>
          <w:p w14:paraId="5895B4F1" w14:textId="3C459E51" w:rsidR="00AA6B76" w:rsidRDefault="00AA6B76" w:rsidP="004D1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24B73F8" w14:textId="77777777" w:rsidR="005143D6" w:rsidRDefault="005143D6" w:rsidP="004D12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43D6" w:rsidRPr="005143D6" w14:paraId="51A590AA" w14:textId="77777777" w:rsidTr="005143D6">
        <w:tc>
          <w:tcPr>
            <w:tcW w:w="5807" w:type="dxa"/>
          </w:tcPr>
          <w:p w14:paraId="71C4ED9B" w14:textId="77777777" w:rsidR="005143D6" w:rsidRDefault="005143D6" w:rsidP="004D1218">
            <w:pPr>
              <w:rPr>
                <w:sz w:val="24"/>
                <w:szCs w:val="24"/>
              </w:rPr>
            </w:pPr>
            <w:r w:rsidRPr="005143D6">
              <w:rPr>
                <w:sz w:val="24"/>
                <w:szCs w:val="24"/>
              </w:rPr>
              <w:t>Single plot</w:t>
            </w:r>
          </w:p>
          <w:p w14:paraId="334BCE88" w14:textId="5653C9A0" w:rsidR="00AA6B76" w:rsidRPr="005143D6" w:rsidRDefault="00AA6B76" w:rsidP="004D1218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E3EFE0F" w14:textId="3A78C8B4" w:rsidR="005143D6" w:rsidRPr="005143D6" w:rsidRDefault="005143D6" w:rsidP="004D1218">
            <w:pPr>
              <w:rPr>
                <w:sz w:val="24"/>
                <w:szCs w:val="24"/>
              </w:rPr>
            </w:pPr>
            <w:r w:rsidRPr="005143D6">
              <w:rPr>
                <w:sz w:val="24"/>
                <w:szCs w:val="24"/>
              </w:rPr>
              <w:t>£300</w:t>
            </w:r>
          </w:p>
        </w:tc>
      </w:tr>
      <w:tr w:rsidR="005143D6" w:rsidRPr="005143D6" w14:paraId="7CD73172" w14:textId="77777777" w:rsidTr="005143D6">
        <w:tc>
          <w:tcPr>
            <w:tcW w:w="5807" w:type="dxa"/>
          </w:tcPr>
          <w:p w14:paraId="5FC4CE32" w14:textId="77777777" w:rsidR="005143D6" w:rsidRDefault="005143D6" w:rsidP="004D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plot (deep)</w:t>
            </w:r>
          </w:p>
          <w:p w14:paraId="57ABB67A" w14:textId="425C328E" w:rsidR="00AA6B76" w:rsidRPr="005143D6" w:rsidRDefault="00AA6B76" w:rsidP="004D1218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18455A9" w14:textId="533D76A6" w:rsidR="005143D6" w:rsidRPr="005143D6" w:rsidRDefault="005143D6" w:rsidP="004D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£500</w:t>
            </w:r>
          </w:p>
        </w:tc>
      </w:tr>
      <w:tr w:rsidR="005143D6" w:rsidRPr="005143D6" w14:paraId="5157EBD5" w14:textId="77777777" w:rsidTr="005143D6">
        <w:tc>
          <w:tcPr>
            <w:tcW w:w="5807" w:type="dxa"/>
          </w:tcPr>
          <w:p w14:paraId="2AA319EB" w14:textId="77777777" w:rsidR="005143D6" w:rsidRDefault="005143D6" w:rsidP="004D1218">
            <w:r w:rsidRPr="00BF7002">
              <w:t>Purchase of plot for cremated remains</w:t>
            </w:r>
            <w:r>
              <w:t xml:space="preserve">  </w:t>
            </w:r>
          </w:p>
          <w:p w14:paraId="6690E8C2" w14:textId="5FA4EA6D" w:rsidR="00AA6B76" w:rsidRPr="005143D6" w:rsidRDefault="00AA6B76" w:rsidP="004D1218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03E4E8A" w14:textId="2DC411A1" w:rsidR="005143D6" w:rsidRPr="005143D6" w:rsidRDefault="005143D6" w:rsidP="004D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</w:t>
            </w:r>
          </w:p>
        </w:tc>
      </w:tr>
      <w:tr w:rsidR="005143D6" w:rsidRPr="005143D6" w14:paraId="14B00EFA" w14:textId="77777777" w:rsidTr="005143D6">
        <w:trPr>
          <w:trHeight w:val="428"/>
        </w:trPr>
        <w:tc>
          <w:tcPr>
            <w:tcW w:w="5807" w:type="dxa"/>
          </w:tcPr>
          <w:p w14:paraId="34FF3334" w14:textId="42385D7D" w:rsidR="005143D6" w:rsidRPr="005143D6" w:rsidRDefault="005143D6" w:rsidP="004D1218">
            <w:pPr>
              <w:rPr>
                <w:sz w:val="24"/>
                <w:szCs w:val="24"/>
              </w:rPr>
            </w:pPr>
            <w:r w:rsidRPr="00BF7002">
              <w:rPr>
                <w:rFonts w:ascii="Calibri" w:hAnsi="Calibri"/>
                <w:sz w:val="24"/>
                <w:szCs w:val="24"/>
              </w:rPr>
              <w:t xml:space="preserve">Memorial fee for </w:t>
            </w:r>
            <w:r w:rsidRPr="00BF7002">
              <w:rPr>
                <w:bCs/>
                <w:sz w:val="24"/>
                <w:szCs w:val="24"/>
              </w:rPr>
              <w:t>a headstone, etc. for a</w:t>
            </w:r>
            <w:r>
              <w:rPr>
                <w:bCs/>
                <w:sz w:val="24"/>
                <w:szCs w:val="24"/>
              </w:rPr>
              <w:t xml:space="preserve"> g</w:t>
            </w:r>
            <w:r w:rsidRPr="00BF7002">
              <w:rPr>
                <w:bCs/>
                <w:sz w:val="24"/>
                <w:szCs w:val="24"/>
              </w:rPr>
              <w:t>rave:</w:t>
            </w:r>
            <w:r w:rsidRPr="00BF7002">
              <w:rPr>
                <w:bCs/>
                <w:sz w:val="24"/>
                <w:szCs w:val="24"/>
              </w:rPr>
              <w:tab/>
            </w:r>
            <w:r w:rsidRPr="00BF7002">
              <w:rPr>
                <w:bCs/>
                <w:sz w:val="24"/>
                <w:szCs w:val="24"/>
              </w:rPr>
              <w:tab/>
            </w:r>
            <w:r w:rsidRPr="00BF7002">
              <w:rPr>
                <w:bCs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14:paraId="3D5C3027" w14:textId="2A510F15" w:rsidR="005143D6" w:rsidRPr="005143D6" w:rsidRDefault="005143D6" w:rsidP="004D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</w:tr>
      <w:tr w:rsidR="005143D6" w:rsidRPr="005143D6" w14:paraId="50FBC1CD" w14:textId="77777777" w:rsidTr="005143D6">
        <w:trPr>
          <w:trHeight w:val="428"/>
        </w:trPr>
        <w:tc>
          <w:tcPr>
            <w:tcW w:w="5807" w:type="dxa"/>
          </w:tcPr>
          <w:p w14:paraId="26D72B56" w14:textId="77777777" w:rsidR="005143D6" w:rsidRDefault="005143D6" w:rsidP="004D1218">
            <w:pPr>
              <w:rPr>
                <w:bCs/>
                <w:sz w:val="24"/>
                <w:szCs w:val="24"/>
              </w:rPr>
            </w:pPr>
            <w:r w:rsidRPr="00BF7002">
              <w:rPr>
                <w:bCs/>
                <w:sz w:val="24"/>
                <w:szCs w:val="24"/>
              </w:rPr>
              <w:t>Memorial fee for a headstone, etc. for interred ashes:</w:t>
            </w:r>
          </w:p>
          <w:p w14:paraId="359C2A4E" w14:textId="1811AC47" w:rsidR="00AA6B76" w:rsidRPr="00BF7002" w:rsidRDefault="00AA6B76" w:rsidP="004D12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30FD218" w14:textId="4B95B814" w:rsidR="005143D6" w:rsidRDefault="005143D6" w:rsidP="004D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</w:tr>
    </w:tbl>
    <w:p w14:paraId="2AD78865" w14:textId="77777777" w:rsidR="005143D6" w:rsidRDefault="005143D6" w:rsidP="004D1218">
      <w:pPr>
        <w:rPr>
          <w:b/>
          <w:bCs/>
          <w:sz w:val="24"/>
          <w:szCs w:val="24"/>
        </w:rPr>
      </w:pPr>
    </w:p>
    <w:sectPr w:rsidR="005143D6" w:rsidSect="00514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02E4"/>
    <w:multiLevelType w:val="hybridMultilevel"/>
    <w:tmpl w:val="62026DB6"/>
    <w:lvl w:ilvl="0" w:tplc="FE4654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43D98"/>
    <w:multiLevelType w:val="hybridMultilevel"/>
    <w:tmpl w:val="81588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3E2C"/>
    <w:multiLevelType w:val="hybridMultilevel"/>
    <w:tmpl w:val="D062E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27006">
    <w:abstractNumId w:val="2"/>
  </w:num>
  <w:num w:numId="2" w16cid:durableId="1733457523">
    <w:abstractNumId w:val="1"/>
  </w:num>
  <w:num w:numId="3" w16cid:durableId="189762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FA"/>
    <w:rsid w:val="00004E94"/>
    <w:rsid w:val="00011C15"/>
    <w:rsid w:val="00012E81"/>
    <w:rsid w:val="00055392"/>
    <w:rsid w:val="00064325"/>
    <w:rsid w:val="00077B6D"/>
    <w:rsid w:val="00087777"/>
    <w:rsid w:val="000B403B"/>
    <w:rsid w:val="000C7AEA"/>
    <w:rsid w:val="000D1AD5"/>
    <w:rsid w:val="000D6FD9"/>
    <w:rsid w:val="000E621B"/>
    <w:rsid w:val="000E6493"/>
    <w:rsid w:val="00106112"/>
    <w:rsid w:val="00111EDA"/>
    <w:rsid w:val="0011572E"/>
    <w:rsid w:val="001159C6"/>
    <w:rsid w:val="001232E1"/>
    <w:rsid w:val="00127F45"/>
    <w:rsid w:val="00136072"/>
    <w:rsid w:val="00155314"/>
    <w:rsid w:val="00156E22"/>
    <w:rsid w:val="0016036E"/>
    <w:rsid w:val="001A3544"/>
    <w:rsid w:val="001D5D98"/>
    <w:rsid w:val="001E15D1"/>
    <w:rsid w:val="002119DF"/>
    <w:rsid w:val="00227A05"/>
    <w:rsid w:val="0024465D"/>
    <w:rsid w:val="00246AFA"/>
    <w:rsid w:val="002604FA"/>
    <w:rsid w:val="00276315"/>
    <w:rsid w:val="002803D5"/>
    <w:rsid w:val="002A3AD1"/>
    <w:rsid w:val="002B4BE3"/>
    <w:rsid w:val="002B6158"/>
    <w:rsid w:val="002C03F9"/>
    <w:rsid w:val="002C3A05"/>
    <w:rsid w:val="002D60F7"/>
    <w:rsid w:val="002F3728"/>
    <w:rsid w:val="00316A17"/>
    <w:rsid w:val="00340B25"/>
    <w:rsid w:val="00340C26"/>
    <w:rsid w:val="003504F7"/>
    <w:rsid w:val="003749B1"/>
    <w:rsid w:val="00391EA3"/>
    <w:rsid w:val="003A439D"/>
    <w:rsid w:val="003B0B14"/>
    <w:rsid w:val="003C1358"/>
    <w:rsid w:val="003D18E9"/>
    <w:rsid w:val="003F42F6"/>
    <w:rsid w:val="00400916"/>
    <w:rsid w:val="0041290D"/>
    <w:rsid w:val="00421AB1"/>
    <w:rsid w:val="004260C5"/>
    <w:rsid w:val="00451B4D"/>
    <w:rsid w:val="004766A3"/>
    <w:rsid w:val="004A3BF0"/>
    <w:rsid w:val="004A5A67"/>
    <w:rsid w:val="004B6274"/>
    <w:rsid w:val="004C0157"/>
    <w:rsid w:val="004C023C"/>
    <w:rsid w:val="004C4981"/>
    <w:rsid w:val="004C50EE"/>
    <w:rsid w:val="004D1218"/>
    <w:rsid w:val="004F1963"/>
    <w:rsid w:val="004F64B9"/>
    <w:rsid w:val="005143D6"/>
    <w:rsid w:val="00521B88"/>
    <w:rsid w:val="00526F47"/>
    <w:rsid w:val="005B6CDF"/>
    <w:rsid w:val="005C25C9"/>
    <w:rsid w:val="005D221A"/>
    <w:rsid w:val="005D4EDA"/>
    <w:rsid w:val="00616754"/>
    <w:rsid w:val="00621EFD"/>
    <w:rsid w:val="00622B7B"/>
    <w:rsid w:val="00623BA7"/>
    <w:rsid w:val="0062474D"/>
    <w:rsid w:val="006331B6"/>
    <w:rsid w:val="00633681"/>
    <w:rsid w:val="006344F1"/>
    <w:rsid w:val="00642551"/>
    <w:rsid w:val="00675DC8"/>
    <w:rsid w:val="00686877"/>
    <w:rsid w:val="006A0120"/>
    <w:rsid w:val="006A07A6"/>
    <w:rsid w:val="006A59BE"/>
    <w:rsid w:val="006C2031"/>
    <w:rsid w:val="006C73E7"/>
    <w:rsid w:val="006C791D"/>
    <w:rsid w:val="006D5959"/>
    <w:rsid w:val="006E1275"/>
    <w:rsid w:val="006E184F"/>
    <w:rsid w:val="006F116F"/>
    <w:rsid w:val="00713F6A"/>
    <w:rsid w:val="00727C4E"/>
    <w:rsid w:val="00730A54"/>
    <w:rsid w:val="00736E43"/>
    <w:rsid w:val="00740420"/>
    <w:rsid w:val="007572D3"/>
    <w:rsid w:val="00757DE3"/>
    <w:rsid w:val="0076552D"/>
    <w:rsid w:val="007661B8"/>
    <w:rsid w:val="00794787"/>
    <w:rsid w:val="007A1620"/>
    <w:rsid w:val="007A7940"/>
    <w:rsid w:val="007B2165"/>
    <w:rsid w:val="007B3F4D"/>
    <w:rsid w:val="007B688E"/>
    <w:rsid w:val="007D1C09"/>
    <w:rsid w:val="007D40AB"/>
    <w:rsid w:val="007E21DA"/>
    <w:rsid w:val="007F3B6B"/>
    <w:rsid w:val="00806A08"/>
    <w:rsid w:val="0080745D"/>
    <w:rsid w:val="00814CEC"/>
    <w:rsid w:val="008211BE"/>
    <w:rsid w:val="0086150E"/>
    <w:rsid w:val="00862667"/>
    <w:rsid w:val="00866BC3"/>
    <w:rsid w:val="00873AF9"/>
    <w:rsid w:val="00882B67"/>
    <w:rsid w:val="00884137"/>
    <w:rsid w:val="0089162F"/>
    <w:rsid w:val="00961D55"/>
    <w:rsid w:val="0098120D"/>
    <w:rsid w:val="009861C0"/>
    <w:rsid w:val="00993282"/>
    <w:rsid w:val="009D0CF5"/>
    <w:rsid w:val="009D4D19"/>
    <w:rsid w:val="00A07159"/>
    <w:rsid w:val="00A20871"/>
    <w:rsid w:val="00A43664"/>
    <w:rsid w:val="00A462E8"/>
    <w:rsid w:val="00A56B9B"/>
    <w:rsid w:val="00A75A0D"/>
    <w:rsid w:val="00A84CA7"/>
    <w:rsid w:val="00AA4E05"/>
    <w:rsid w:val="00AA6B76"/>
    <w:rsid w:val="00AC3AD9"/>
    <w:rsid w:val="00AF4671"/>
    <w:rsid w:val="00B12EAE"/>
    <w:rsid w:val="00B22082"/>
    <w:rsid w:val="00B46E72"/>
    <w:rsid w:val="00B66AE6"/>
    <w:rsid w:val="00BA7D7E"/>
    <w:rsid w:val="00BD3057"/>
    <w:rsid w:val="00BE0332"/>
    <w:rsid w:val="00BE1A96"/>
    <w:rsid w:val="00BE738E"/>
    <w:rsid w:val="00BF6E3E"/>
    <w:rsid w:val="00BF7002"/>
    <w:rsid w:val="00C028A5"/>
    <w:rsid w:val="00C2001C"/>
    <w:rsid w:val="00C34A97"/>
    <w:rsid w:val="00C3743B"/>
    <w:rsid w:val="00C422A0"/>
    <w:rsid w:val="00C50A0B"/>
    <w:rsid w:val="00C66CEF"/>
    <w:rsid w:val="00C721E7"/>
    <w:rsid w:val="00C72A52"/>
    <w:rsid w:val="00C90E7C"/>
    <w:rsid w:val="00CA7AE9"/>
    <w:rsid w:val="00CB0AB7"/>
    <w:rsid w:val="00CB0D2A"/>
    <w:rsid w:val="00CB0EC4"/>
    <w:rsid w:val="00CB7786"/>
    <w:rsid w:val="00CC78D1"/>
    <w:rsid w:val="00D01A84"/>
    <w:rsid w:val="00D0571D"/>
    <w:rsid w:val="00D07D51"/>
    <w:rsid w:val="00D40A72"/>
    <w:rsid w:val="00D51C8E"/>
    <w:rsid w:val="00D55EC3"/>
    <w:rsid w:val="00D67E30"/>
    <w:rsid w:val="00D7133F"/>
    <w:rsid w:val="00DB18CF"/>
    <w:rsid w:val="00DB62D6"/>
    <w:rsid w:val="00DE77F4"/>
    <w:rsid w:val="00DF70C0"/>
    <w:rsid w:val="00E03939"/>
    <w:rsid w:val="00E05E76"/>
    <w:rsid w:val="00E16CE5"/>
    <w:rsid w:val="00E366F6"/>
    <w:rsid w:val="00E374E1"/>
    <w:rsid w:val="00E42122"/>
    <w:rsid w:val="00E44E27"/>
    <w:rsid w:val="00E71A79"/>
    <w:rsid w:val="00E74253"/>
    <w:rsid w:val="00E76512"/>
    <w:rsid w:val="00E9065F"/>
    <w:rsid w:val="00E91149"/>
    <w:rsid w:val="00EA356B"/>
    <w:rsid w:val="00EA51D0"/>
    <w:rsid w:val="00EC6E83"/>
    <w:rsid w:val="00ED7C98"/>
    <w:rsid w:val="00EE5FE1"/>
    <w:rsid w:val="00EE60A5"/>
    <w:rsid w:val="00F00FD0"/>
    <w:rsid w:val="00F01313"/>
    <w:rsid w:val="00F0147E"/>
    <w:rsid w:val="00F04848"/>
    <w:rsid w:val="00F15403"/>
    <w:rsid w:val="00F247D6"/>
    <w:rsid w:val="00F54963"/>
    <w:rsid w:val="00F55F55"/>
    <w:rsid w:val="00F64BCC"/>
    <w:rsid w:val="00F652DC"/>
    <w:rsid w:val="00F83D9E"/>
    <w:rsid w:val="00FA5EF4"/>
    <w:rsid w:val="00FC55E3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5F11"/>
  <w15:chartTrackingRefBased/>
  <w15:docId w15:val="{A13BC993-161E-4E71-A9D9-F4ACE91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4F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A3B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3BF0"/>
    <w:rPr>
      <w:rFonts w:ascii="Helvetica" w:eastAsia="Times New Roman" w:hAnsi="Helvetica"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A20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8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43D6"/>
    <w:pPr>
      <w:spacing w:after="0" w:line="240" w:lineRule="auto"/>
    </w:pPr>
  </w:style>
  <w:style w:type="table" w:styleId="TableGrid">
    <w:name w:val="Table Grid"/>
    <w:basedOn w:val="TableNormal"/>
    <w:uiPriority w:val="39"/>
    <w:rsid w:val="0051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behaypc.org.uk/contact-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Olga Shepherd</cp:lastModifiedBy>
  <cp:revision>2</cp:revision>
  <cp:lastPrinted>2021-11-17T16:07:00Z</cp:lastPrinted>
  <dcterms:created xsi:type="dcterms:W3CDTF">2025-07-05T10:32:00Z</dcterms:created>
  <dcterms:modified xsi:type="dcterms:W3CDTF">2025-07-05T10:32:00Z</dcterms:modified>
</cp:coreProperties>
</file>